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C791" w14:textId="77777777" w:rsidR="00FE067E" w:rsidRPr="00454E23" w:rsidRDefault="003C6034" w:rsidP="00CC1F3B">
      <w:pPr>
        <w:pStyle w:val="TitlePageOrigin"/>
        <w:rPr>
          <w:color w:val="auto"/>
        </w:rPr>
      </w:pPr>
      <w:r w:rsidRPr="00454E23">
        <w:rPr>
          <w:caps w:val="0"/>
          <w:color w:val="auto"/>
        </w:rPr>
        <w:t>WEST VIRGINIA LEGISLATURE</w:t>
      </w:r>
    </w:p>
    <w:p w14:paraId="2CEA11F1" w14:textId="751982CA" w:rsidR="00CD36CF" w:rsidRPr="00454E23" w:rsidRDefault="00CD36CF" w:rsidP="00CC1F3B">
      <w:pPr>
        <w:pStyle w:val="TitlePageSession"/>
        <w:rPr>
          <w:color w:val="auto"/>
        </w:rPr>
      </w:pPr>
      <w:r w:rsidRPr="00454E23">
        <w:rPr>
          <w:color w:val="auto"/>
        </w:rPr>
        <w:t>20</w:t>
      </w:r>
      <w:r w:rsidR="00EC5E63" w:rsidRPr="00454E23">
        <w:rPr>
          <w:color w:val="auto"/>
        </w:rPr>
        <w:t>2</w:t>
      </w:r>
      <w:r w:rsidR="006D0A8C" w:rsidRPr="00454E23">
        <w:rPr>
          <w:color w:val="auto"/>
        </w:rPr>
        <w:t>5</w:t>
      </w:r>
      <w:r w:rsidRPr="00454E23">
        <w:rPr>
          <w:color w:val="auto"/>
        </w:rPr>
        <w:t xml:space="preserve"> </w:t>
      </w:r>
      <w:r w:rsidR="003C6034" w:rsidRPr="00454E23">
        <w:rPr>
          <w:caps w:val="0"/>
          <w:color w:val="auto"/>
        </w:rPr>
        <w:t>REGULAR SESSION</w:t>
      </w:r>
    </w:p>
    <w:p w14:paraId="2ABF2597" w14:textId="77777777" w:rsidR="00CD36CF" w:rsidRPr="00454E23" w:rsidRDefault="0028049C" w:rsidP="00CC1F3B">
      <w:pPr>
        <w:pStyle w:val="TitlePageBillPrefix"/>
        <w:rPr>
          <w:color w:val="auto"/>
        </w:rPr>
      </w:pPr>
      <w:sdt>
        <w:sdtPr>
          <w:rPr>
            <w:color w:val="auto"/>
          </w:rPr>
          <w:tag w:val="IntroDate"/>
          <w:id w:val="-1236936958"/>
          <w:placeholder>
            <w:docPart w:val="EE7ABB0CC9734044A55EAFEB7E0F3FF3"/>
          </w:placeholder>
          <w:text/>
        </w:sdtPr>
        <w:sdtEndPr/>
        <w:sdtContent>
          <w:r w:rsidR="00AE48A0" w:rsidRPr="00454E23">
            <w:rPr>
              <w:color w:val="auto"/>
            </w:rPr>
            <w:t>Introduced</w:t>
          </w:r>
        </w:sdtContent>
      </w:sdt>
    </w:p>
    <w:p w14:paraId="0211DFEF" w14:textId="0AEE2968" w:rsidR="00CD36CF" w:rsidRPr="00454E23" w:rsidRDefault="0028049C" w:rsidP="00CC1F3B">
      <w:pPr>
        <w:pStyle w:val="BillNumber"/>
        <w:rPr>
          <w:color w:val="auto"/>
        </w:rPr>
      </w:pPr>
      <w:sdt>
        <w:sdtPr>
          <w:rPr>
            <w:color w:val="auto"/>
          </w:rPr>
          <w:tag w:val="Chamber"/>
          <w:id w:val="893011969"/>
          <w:lock w:val="sdtLocked"/>
          <w:placeholder>
            <w:docPart w:val="6B8403AE0BA9450BB110882CA7D2276E"/>
          </w:placeholder>
          <w:dropDownList>
            <w:listItem w:displayText="House" w:value="House"/>
            <w:listItem w:displayText="Senate" w:value="Senate"/>
          </w:dropDownList>
        </w:sdtPr>
        <w:sdtEndPr/>
        <w:sdtContent>
          <w:r w:rsidR="00250EF0" w:rsidRPr="00454E23">
            <w:rPr>
              <w:color w:val="auto"/>
            </w:rPr>
            <w:t>Senate</w:t>
          </w:r>
        </w:sdtContent>
      </w:sdt>
      <w:r w:rsidR="00303684" w:rsidRPr="00454E23">
        <w:rPr>
          <w:color w:val="auto"/>
        </w:rPr>
        <w:t xml:space="preserve"> </w:t>
      </w:r>
      <w:r w:rsidR="00CD36CF" w:rsidRPr="00454E23">
        <w:rPr>
          <w:color w:val="auto"/>
        </w:rPr>
        <w:t xml:space="preserve">Bill </w:t>
      </w:r>
      <w:sdt>
        <w:sdtPr>
          <w:rPr>
            <w:color w:val="auto"/>
          </w:rPr>
          <w:tag w:val="BNum"/>
          <w:id w:val="1645317809"/>
          <w:lock w:val="sdtLocked"/>
          <w:placeholder>
            <w:docPart w:val="4B81FD4136864B6C91AE6164C25A8A3B"/>
          </w:placeholder>
          <w:text/>
        </w:sdtPr>
        <w:sdtEndPr/>
        <w:sdtContent>
          <w:r w:rsidR="00761DDC">
            <w:rPr>
              <w:color w:val="auto"/>
            </w:rPr>
            <w:t>114</w:t>
          </w:r>
        </w:sdtContent>
      </w:sdt>
    </w:p>
    <w:p w14:paraId="02C891A5" w14:textId="6F61DC66" w:rsidR="00CD36CF" w:rsidRPr="00454E23" w:rsidRDefault="00CD36CF" w:rsidP="00CC1F3B">
      <w:pPr>
        <w:pStyle w:val="Sponsors"/>
        <w:rPr>
          <w:color w:val="auto"/>
        </w:rPr>
      </w:pPr>
      <w:r w:rsidRPr="00454E23">
        <w:rPr>
          <w:color w:val="auto"/>
        </w:rPr>
        <w:t xml:space="preserve">By </w:t>
      </w:r>
      <w:sdt>
        <w:sdtPr>
          <w:rPr>
            <w:color w:val="auto"/>
          </w:rPr>
          <w:tag w:val="Sponsors"/>
          <w:id w:val="1589585889"/>
          <w:placeholder>
            <w:docPart w:val="8814CD8B84FD468CB639EDC21390D7B2"/>
          </w:placeholder>
          <w:text w:multiLine="1"/>
        </w:sdtPr>
        <w:sdtEndPr/>
        <w:sdtContent>
          <w:r w:rsidR="00250EF0" w:rsidRPr="00454E23">
            <w:rPr>
              <w:color w:val="auto"/>
            </w:rPr>
            <w:t>Senator Clements</w:t>
          </w:r>
        </w:sdtContent>
      </w:sdt>
    </w:p>
    <w:p w14:paraId="638814CC" w14:textId="65AAE9CD" w:rsidR="00E831B3" w:rsidRPr="00454E23" w:rsidRDefault="00CD36CF" w:rsidP="00CC1F3B">
      <w:pPr>
        <w:pStyle w:val="References"/>
        <w:rPr>
          <w:color w:val="auto"/>
        </w:rPr>
      </w:pPr>
      <w:r w:rsidRPr="00454E23">
        <w:rPr>
          <w:color w:val="auto"/>
        </w:rPr>
        <w:t>[</w:t>
      </w:r>
      <w:sdt>
        <w:sdtPr>
          <w:rPr>
            <w:color w:val="auto"/>
          </w:rPr>
          <w:tag w:val="References"/>
          <w:id w:val="-1043047873"/>
          <w:placeholder>
            <w:docPart w:val="E32FDEEA289544BAA0140CA415852B72"/>
          </w:placeholder>
          <w:text w:multiLine="1"/>
        </w:sdtPr>
        <w:sdtEndPr/>
        <w:sdtContent>
          <w:r w:rsidR="00761DDC" w:rsidRPr="00454E23">
            <w:rPr>
              <w:color w:val="auto"/>
            </w:rPr>
            <w:t xml:space="preserve">Introduced </w:t>
          </w:r>
          <w:r w:rsidR="00761DDC" w:rsidRPr="00505FEB">
            <w:rPr>
              <w:color w:val="auto"/>
            </w:rPr>
            <w:t>February 12, 2025</w:t>
          </w:r>
          <w:r w:rsidR="00761DDC" w:rsidRPr="00454E23">
            <w:rPr>
              <w:color w:val="auto"/>
            </w:rPr>
            <w:t>; referred</w:t>
          </w:r>
          <w:r w:rsidR="00761DDC" w:rsidRPr="00454E23">
            <w:rPr>
              <w:color w:val="auto"/>
            </w:rPr>
            <w:br/>
            <w:t xml:space="preserve">to the Committee on </w:t>
          </w:r>
          <w:r w:rsidR="0028049C">
            <w:rPr>
              <w:color w:val="auto"/>
            </w:rPr>
            <w:t>Transportation and Infrastructure</w:t>
          </w:r>
        </w:sdtContent>
      </w:sdt>
      <w:r w:rsidRPr="00454E23">
        <w:rPr>
          <w:color w:val="auto"/>
        </w:rPr>
        <w:t>]</w:t>
      </w:r>
    </w:p>
    <w:p w14:paraId="7692CD3D" w14:textId="2FC0E5A3" w:rsidR="00303684" w:rsidRPr="00454E23" w:rsidRDefault="0000526A" w:rsidP="00CC1F3B">
      <w:pPr>
        <w:pStyle w:val="TitleSection"/>
        <w:rPr>
          <w:color w:val="auto"/>
        </w:rPr>
      </w:pPr>
      <w:r w:rsidRPr="00454E23">
        <w:rPr>
          <w:color w:val="auto"/>
        </w:rPr>
        <w:lastRenderedPageBreak/>
        <w:t>A BILL</w:t>
      </w:r>
      <w:r w:rsidR="00250EF0" w:rsidRPr="00454E23">
        <w:rPr>
          <w:color w:val="auto"/>
        </w:rPr>
        <w:t xml:space="preserve"> to amend and reenact §17A-4A-2a of the Code of West Virginia, </w:t>
      </w:r>
      <w:r w:rsidR="00EC068E" w:rsidRPr="00454E23">
        <w:rPr>
          <w:color w:val="auto"/>
        </w:rPr>
        <w:t xml:space="preserve">1931, </w:t>
      </w:r>
      <w:r w:rsidR="00250EF0" w:rsidRPr="00454E23">
        <w:rPr>
          <w:color w:val="auto"/>
        </w:rPr>
        <w:t>as amended, relating to mandating lending institutions who conduct five or more transactions annually to utilize the Division of Motor Vehicles electronic lien system to perfect or release security interest in a vehicle.</w:t>
      </w:r>
    </w:p>
    <w:p w14:paraId="78D88E60" w14:textId="77777777" w:rsidR="00303684" w:rsidRPr="00454E23" w:rsidRDefault="00303684" w:rsidP="00CC1F3B">
      <w:pPr>
        <w:pStyle w:val="EnactingClause"/>
        <w:rPr>
          <w:color w:val="auto"/>
        </w:rPr>
      </w:pPr>
      <w:r w:rsidRPr="00454E23">
        <w:rPr>
          <w:color w:val="auto"/>
        </w:rPr>
        <w:t>Be it enacted by the Legislature of West Virginia:</w:t>
      </w:r>
    </w:p>
    <w:p w14:paraId="26DAE466" w14:textId="77777777" w:rsidR="003C6034" w:rsidRPr="00454E23" w:rsidRDefault="003C6034" w:rsidP="00CC1F3B">
      <w:pPr>
        <w:pStyle w:val="EnactingClause"/>
        <w:rPr>
          <w:color w:val="auto"/>
        </w:rPr>
        <w:sectPr w:rsidR="003C6034" w:rsidRPr="00454E23" w:rsidSect="00250E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BD88DF" w14:textId="77777777" w:rsidR="00250EF0" w:rsidRPr="00454E23" w:rsidRDefault="00250EF0" w:rsidP="00250EF0">
      <w:pPr>
        <w:pStyle w:val="ArticleHeading"/>
        <w:rPr>
          <w:color w:val="auto"/>
        </w:rPr>
        <w:sectPr w:rsidR="00250EF0" w:rsidRPr="00454E23" w:rsidSect="00250EF0">
          <w:type w:val="continuous"/>
          <w:pgSz w:w="12240" w:h="15840" w:code="1"/>
          <w:pgMar w:top="1440" w:right="1440" w:bottom="1440" w:left="1440" w:header="720" w:footer="720" w:gutter="0"/>
          <w:lnNumType w:countBy="1" w:restart="newSection"/>
          <w:cols w:space="720"/>
          <w:titlePg/>
          <w:docGrid w:linePitch="360"/>
        </w:sectPr>
      </w:pPr>
      <w:r w:rsidRPr="00454E23">
        <w:rPr>
          <w:color w:val="auto"/>
        </w:rPr>
        <w:t>ARTICLE 4A. LIENS AND ENCUMBRANCES ON VEHICLES TO BE SHOWN ON CERTIFICATE OF TITLE; NOTICE TO CREDITORS AND PURCHASERS.</w:t>
      </w:r>
    </w:p>
    <w:p w14:paraId="72D262D6" w14:textId="77777777" w:rsidR="00250EF0" w:rsidRPr="00454E23" w:rsidRDefault="00250EF0" w:rsidP="00CF094E">
      <w:pPr>
        <w:pStyle w:val="SectionHeading"/>
        <w:rPr>
          <w:color w:val="auto"/>
        </w:rPr>
        <w:sectPr w:rsidR="00250EF0" w:rsidRPr="00454E23" w:rsidSect="00F8375C">
          <w:type w:val="continuous"/>
          <w:pgSz w:w="12240" w:h="15840" w:code="1"/>
          <w:pgMar w:top="1440" w:right="1440" w:bottom="1440" w:left="1440" w:header="720" w:footer="720" w:gutter="0"/>
          <w:lnNumType w:countBy="1" w:restart="newSection"/>
          <w:cols w:space="720"/>
          <w:titlePg/>
          <w:docGrid w:linePitch="360"/>
        </w:sectPr>
      </w:pPr>
      <w:r w:rsidRPr="00454E23">
        <w:rPr>
          <w:color w:val="auto"/>
        </w:rPr>
        <w:t>§17A-4A-2a. Electronic transfer of liens.</w:t>
      </w:r>
    </w:p>
    <w:p w14:paraId="765327BF" w14:textId="1C484090" w:rsidR="00250EF0" w:rsidRPr="00454E23" w:rsidRDefault="00250EF0" w:rsidP="00CF094E">
      <w:pPr>
        <w:pStyle w:val="SectionBody"/>
        <w:rPr>
          <w:color w:val="auto"/>
        </w:rPr>
      </w:pPr>
      <w:r w:rsidRPr="00454E23">
        <w:rPr>
          <w:color w:val="auto"/>
        </w:rPr>
        <w:t xml:space="preserve">(a) Notwithstanding any requirement in this chapter that a lien on a motor vehicle shall be noted on the face of the certificate of title, if there are one or more liens or encumbrance on a vehicle, trailer, semitrailer, pole trailer, factory-built home or recreational vehicle, the division </w:t>
      </w:r>
      <w:r w:rsidRPr="00454E23">
        <w:rPr>
          <w:strike/>
          <w:color w:val="auto"/>
        </w:rPr>
        <w:t>may</w:t>
      </w:r>
      <w:r w:rsidRPr="00454E23">
        <w:rPr>
          <w:color w:val="auto"/>
        </w:rPr>
        <w:t xml:space="preserve"> </w:t>
      </w:r>
      <w:r w:rsidRPr="00454E23">
        <w:rPr>
          <w:color w:val="auto"/>
          <w:u w:val="single"/>
        </w:rPr>
        <w:t>shall</w:t>
      </w:r>
      <w:r w:rsidRPr="00454E23">
        <w:rPr>
          <w:color w:val="auto"/>
        </w:rPr>
        <w:t xml:space="preserve"> electronically transmit the lien to the first lienholder and notify the first lienholder of any additional liens. Subsequent lien satisfactions </w:t>
      </w:r>
      <w:r w:rsidRPr="00454E23">
        <w:rPr>
          <w:strike/>
          <w:color w:val="auto"/>
        </w:rPr>
        <w:t>may</w:t>
      </w:r>
      <w:r w:rsidRPr="00454E23">
        <w:rPr>
          <w:color w:val="auto"/>
        </w:rPr>
        <w:t xml:space="preserve"> </w:t>
      </w:r>
      <w:r w:rsidRPr="00454E23">
        <w:rPr>
          <w:color w:val="auto"/>
          <w:u w:val="single"/>
        </w:rPr>
        <w:t>shall</w:t>
      </w:r>
      <w:r w:rsidRPr="00454E23">
        <w:rPr>
          <w:color w:val="auto"/>
        </w:rPr>
        <w:t xml:space="preserve"> be electronically transmitted to the division and shall include the name and address of the person satisfying the lien and any other information required by the division as a condition of participating in the electronic lien information exchange program.</w:t>
      </w:r>
    </w:p>
    <w:p w14:paraId="6F28C711" w14:textId="77777777" w:rsidR="00250EF0" w:rsidRPr="00454E23" w:rsidRDefault="00250EF0" w:rsidP="00CF094E">
      <w:pPr>
        <w:pStyle w:val="SectionBody"/>
        <w:rPr>
          <w:color w:val="auto"/>
        </w:rPr>
      </w:pPr>
      <w:r w:rsidRPr="00454E23">
        <w:rPr>
          <w:color w:val="auto"/>
        </w:rPr>
        <w:t>(b) The division may enter into agreements with a service provider or providers to administer the electronic exchange of lien information between dealers, financial institutions and the division. For the purposes of this section the term financial institutions shall have the same meaning as defined in section ten-b, article six of this chapter.</w:t>
      </w:r>
    </w:p>
    <w:p w14:paraId="41DAD6FC" w14:textId="37266588" w:rsidR="00250EF0" w:rsidRPr="00454E23" w:rsidRDefault="00250EF0" w:rsidP="00CF094E">
      <w:pPr>
        <w:pStyle w:val="SectionBody"/>
        <w:rPr>
          <w:color w:val="auto"/>
          <w:u w:val="single"/>
        </w:rPr>
      </w:pPr>
      <w:r w:rsidRPr="00454E23">
        <w:rPr>
          <w:color w:val="auto"/>
          <w:u w:val="single"/>
        </w:rPr>
        <w:t>(c) As of July 1, 202</w:t>
      </w:r>
      <w:r w:rsidR="006D0A8C" w:rsidRPr="00454E23">
        <w:rPr>
          <w:color w:val="auto"/>
          <w:u w:val="single"/>
        </w:rPr>
        <w:t>5</w:t>
      </w:r>
      <w:r w:rsidRPr="00454E23">
        <w:rPr>
          <w:color w:val="auto"/>
          <w:u w:val="single"/>
        </w:rPr>
        <w:t>, the division shall require all individuals a</w:t>
      </w:r>
      <w:r w:rsidR="002A4904" w:rsidRPr="00454E23">
        <w:rPr>
          <w:color w:val="auto"/>
          <w:u w:val="single"/>
        </w:rPr>
        <w:t>n</w:t>
      </w:r>
      <w:r w:rsidRPr="00454E23">
        <w:rPr>
          <w:color w:val="auto"/>
          <w:u w:val="single"/>
        </w:rPr>
        <w:t>d lienholders who conduct at least five transactions annually to utilize the electronic lien information exchange program</w:t>
      </w:r>
      <w:r w:rsidR="002A4904" w:rsidRPr="00454E23">
        <w:rPr>
          <w:color w:val="auto"/>
          <w:u w:val="single"/>
        </w:rPr>
        <w:t xml:space="preserve">, whether through a service provider or using the electronic lien information exchange web portal, to record information concerning the perfection and release of a security interest in a vehicle. The division shall establish procedures to ensure that the businesses comply with the use of the </w:t>
      </w:r>
      <w:r w:rsidR="002A4904" w:rsidRPr="00454E23">
        <w:rPr>
          <w:color w:val="auto"/>
          <w:u w:val="single"/>
        </w:rPr>
        <w:lastRenderedPageBreak/>
        <w:t>electronic lien information exchange program, as well as define valid exceptions as determined by the division.</w:t>
      </w:r>
    </w:p>
    <w:p w14:paraId="0A69BA9C" w14:textId="7F1E4670" w:rsidR="00250EF0" w:rsidRPr="00454E23" w:rsidRDefault="00250EF0" w:rsidP="00CF094E">
      <w:pPr>
        <w:pStyle w:val="SectionBody"/>
        <w:rPr>
          <w:color w:val="auto"/>
        </w:rPr>
      </w:pPr>
      <w:r w:rsidRPr="00454E23">
        <w:rPr>
          <w:strike/>
          <w:color w:val="auto"/>
        </w:rPr>
        <w:t>(c)</w:t>
      </w:r>
      <w:r w:rsidRPr="00454E23">
        <w:rPr>
          <w:color w:val="auto"/>
        </w:rPr>
        <w:t xml:space="preserve"> </w:t>
      </w:r>
      <w:r w:rsidR="002A4904" w:rsidRPr="00454E23">
        <w:rPr>
          <w:color w:val="auto"/>
          <w:u w:val="single"/>
        </w:rPr>
        <w:t>(d)</w:t>
      </w:r>
      <w:r w:rsidR="002A4904" w:rsidRPr="00454E23">
        <w:rPr>
          <w:color w:val="auto"/>
        </w:rPr>
        <w:t xml:space="preserve"> </w:t>
      </w:r>
      <w:r w:rsidRPr="00454E23">
        <w:rPr>
          <w:color w:val="auto"/>
        </w:rPr>
        <w:t>When electronic transmission of liens and lien satisfaction is used, a hard copy certificate of title need not be issued until the last lien is satisfied and a clear hard copy certificate of title is issued to the owner of the vehicle. When a vehicle is subject to an electronic lien, the certificate of title for the vehicle shall be considered to be physically held by the lienholder for the purpose of compliance with state and federal odometer disclosure requirements and for any other requirement of this code. A duly certified copy of the division</w:t>
      </w:r>
      <w:r w:rsidRPr="00454E23">
        <w:rPr>
          <w:color w:val="auto"/>
        </w:rPr>
        <w:sym w:font="Arial" w:char="0027"/>
      </w:r>
      <w:r w:rsidRPr="00454E23">
        <w:rPr>
          <w:color w:val="auto"/>
        </w:rPr>
        <w:t>s electronic record of the lien shall be admissible in any civil, criminal or administrative proceeding in this state as evidence of the existence of the lien.</w:t>
      </w:r>
    </w:p>
    <w:p w14:paraId="53B44EE4" w14:textId="7195C4C6" w:rsidR="00250EF0" w:rsidRPr="00454E23" w:rsidRDefault="00250EF0" w:rsidP="00CF094E">
      <w:pPr>
        <w:pStyle w:val="SectionBody"/>
        <w:rPr>
          <w:color w:val="auto"/>
        </w:rPr>
      </w:pPr>
      <w:r w:rsidRPr="00454E23">
        <w:rPr>
          <w:strike/>
          <w:color w:val="auto"/>
        </w:rPr>
        <w:t>(d)</w:t>
      </w:r>
      <w:r w:rsidRPr="00454E23">
        <w:rPr>
          <w:color w:val="auto"/>
        </w:rPr>
        <w:t xml:space="preserve"> </w:t>
      </w:r>
      <w:r w:rsidR="002A4904" w:rsidRPr="00454E23">
        <w:rPr>
          <w:color w:val="auto"/>
          <w:u w:val="single"/>
        </w:rPr>
        <w:t>(e)</w:t>
      </w:r>
      <w:r w:rsidR="002A4904" w:rsidRPr="00454E23">
        <w:rPr>
          <w:color w:val="auto"/>
        </w:rPr>
        <w:t xml:space="preserve"> </w:t>
      </w:r>
      <w:r w:rsidRPr="00454E23">
        <w:rPr>
          <w:color w:val="auto"/>
        </w:rPr>
        <w:t>For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p w14:paraId="7B2A04EA" w14:textId="77777777" w:rsidR="00250EF0" w:rsidRPr="00454E23" w:rsidRDefault="00250EF0" w:rsidP="00250EF0">
      <w:pPr>
        <w:pStyle w:val="ArticleHeading"/>
        <w:rPr>
          <w:color w:val="auto"/>
        </w:rPr>
        <w:sectPr w:rsidR="00250EF0" w:rsidRPr="00454E23" w:rsidSect="00250EF0">
          <w:type w:val="continuous"/>
          <w:pgSz w:w="12240" w:h="15840" w:code="1"/>
          <w:pgMar w:top="1440" w:right="1440" w:bottom="1440" w:left="1440" w:header="720" w:footer="720" w:gutter="0"/>
          <w:lnNumType w:countBy="1" w:restart="newSection"/>
          <w:cols w:space="720"/>
          <w:titlePg/>
          <w:docGrid w:linePitch="360"/>
        </w:sectPr>
      </w:pPr>
    </w:p>
    <w:p w14:paraId="4687AAEB" w14:textId="4F2A6C07" w:rsidR="006865E9" w:rsidRPr="00454E23" w:rsidRDefault="00CF1DCA" w:rsidP="00CC1F3B">
      <w:pPr>
        <w:pStyle w:val="Note"/>
        <w:rPr>
          <w:color w:val="auto"/>
        </w:rPr>
      </w:pPr>
      <w:r w:rsidRPr="00454E23">
        <w:rPr>
          <w:color w:val="auto"/>
        </w:rPr>
        <w:t>NOTE: The</w:t>
      </w:r>
      <w:r w:rsidR="006865E9" w:rsidRPr="00454E23">
        <w:rPr>
          <w:color w:val="auto"/>
        </w:rPr>
        <w:t xml:space="preserve"> purpose of this bill is to </w:t>
      </w:r>
      <w:r w:rsidR="002A4904" w:rsidRPr="00454E23">
        <w:rPr>
          <w:color w:val="auto"/>
        </w:rPr>
        <w:t>mandate lending institutions who conduct five or more transactions annually to utilize the Division of Motor Vehicles electronic lien system to perfect or release security interest in a vehicle.</w:t>
      </w:r>
    </w:p>
    <w:p w14:paraId="5DB4D262" w14:textId="77777777" w:rsidR="006865E9" w:rsidRPr="00454E23" w:rsidRDefault="00AE48A0" w:rsidP="00CC1F3B">
      <w:pPr>
        <w:pStyle w:val="Note"/>
        <w:rPr>
          <w:color w:val="auto"/>
        </w:rPr>
      </w:pPr>
      <w:r w:rsidRPr="00454E23">
        <w:rPr>
          <w:color w:val="auto"/>
        </w:rPr>
        <w:t>Strike-throughs indicate language that would be stricken from a heading or the present law and underscoring indicates new language that would be added.</w:t>
      </w:r>
    </w:p>
    <w:sectPr w:rsidR="006865E9" w:rsidRPr="00454E23" w:rsidSect="00250E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19CE" w14:textId="77777777" w:rsidR="003B0266" w:rsidRPr="00B844FE" w:rsidRDefault="003B0266" w:rsidP="00B844FE">
      <w:r>
        <w:separator/>
      </w:r>
    </w:p>
  </w:endnote>
  <w:endnote w:type="continuationSeparator" w:id="0">
    <w:p w14:paraId="6B886B6B" w14:textId="77777777" w:rsidR="003B0266" w:rsidRPr="00B844FE" w:rsidRDefault="003B02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DF8C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1C9B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949E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F1B5" w14:textId="77777777" w:rsidR="003B0266" w:rsidRPr="00B844FE" w:rsidRDefault="003B0266" w:rsidP="00B844FE">
      <w:r>
        <w:separator/>
      </w:r>
    </w:p>
  </w:footnote>
  <w:footnote w:type="continuationSeparator" w:id="0">
    <w:p w14:paraId="68F21992" w14:textId="77777777" w:rsidR="003B0266" w:rsidRPr="00B844FE" w:rsidRDefault="003B02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D46" w14:textId="77777777" w:rsidR="002A0269" w:rsidRPr="00B844FE" w:rsidRDefault="0028049C">
    <w:pPr>
      <w:pStyle w:val="Header"/>
    </w:pPr>
    <w:sdt>
      <w:sdtPr>
        <w:id w:val="-684364211"/>
        <w:placeholder>
          <w:docPart w:val="6B8403AE0BA9450BB110882CA7D227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8403AE0BA9450BB110882CA7D227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3CEA" w14:textId="2458F7C6" w:rsidR="00C33014" w:rsidRPr="00686E9A" w:rsidRDefault="00AE48A0" w:rsidP="000573A9">
    <w:pPr>
      <w:pStyle w:val="HeaderStyle"/>
      <w:rPr>
        <w:sz w:val="22"/>
        <w:szCs w:val="22"/>
      </w:rPr>
    </w:pPr>
    <w:r w:rsidRPr="006D0A8C">
      <w:t>I</w:t>
    </w:r>
    <w:r w:rsidR="001A66B7" w:rsidRPr="006D0A8C">
      <w:t xml:space="preserve">ntr </w:t>
    </w:r>
    <w:sdt>
      <w:sdtPr>
        <w:tag w:val="BNumWH"/>
        <w:id w:val="138549797"/>
        <w:showingPlcHdr/>
        <w:text/>
      </w:sdtPr>
      <w:sdtEndPr/>
      <w:sdtContent/>
    </w:sdt>
    <w:r w:rsidR="007A5259" w:rsidRPr="006D0A8C">
      <w:t xml:space="preserve"> </w:t>
    </w:r>
    <w:r w:rsidR="002A4904" w:rsidRPr="006D0A8C">
      <w:t>SB</w:t>
    </w:r>
    <w:r w:rsidR="00761DDC">
      <w:t xml:space="preserve"> 114</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A4904" w:rsidRPr="006D0A8C">
          <w:t>202</w:t>
        </w:r>
        <w:r w:rsidR="006D0A8C">
          <w:t>5R1524</w:t>
        </w:r>
      </w:sdtContent>
    </w:sdt>
  </w:p>
  <w:p w14:paraId="4B98AD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4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66"/>
    <w:rsid w:val="0000526A"/>
    <w:rsid w:val="000573A9"/>
    <w:rsid w:val="00085D22"/>
    <w:rsid w:val="00093AB0"/>
    <w:rsid w:val="000B1054"/>
    <w:rsid w:val="000C5C77"/>
    <w:rsid w:val="000E3912"/>
    <w:rsid w:val="0010070F"/>
    <w:rsid w:val="0015112E"/>
    <w:rsid w:val="001552E7"/>
    <w:rsid w:val="001566B4"/>
    <w:rsid w:val="001A66B7"/>
    <w:rsid w:val="001C279E"/>
    <w:rsid w:val="001D459E"/>
    <w:rsid w:val="001E5485"/>
    <w:rsid w:val="0022348D"/>
    <w:rsid w:val="00250EF0"/>
    <w:rsid w:val="0027011C"/>
    <w:rsid w:val="00274200"/>
    <w:rsid w:val="00275740"/>
    <w:rsid w:val="0028049C"/>
    <w:rsid w:val="002A0269"/>
    <w:rsid w:val="002A4904"/>
    <w:rsid w:val="00303684"/>
    <w:rsid w:val="003143F5"/>
    <w:rsid w:val="00314854"/>
    <w:rsid w:val="003715D9"/>
    <w:rsid w:val="00394191"/>
    <w:rsid w:val="003B0266"/>
    <w:rsid w:val="003C51CD"/>
    <w:rsid w:val="003C6034"/>
    <w:rsid w:val="00400B5C"/>
    <w:rsid w:val="004368E0"/>
    <w:rsid w:val="00454E23"/>
    <w:rsid w:val="004C13DD"/>
    <w:rsid w:val="004D3ABE"/>
    <w:rsid w:val="004E3441"/>
    <w:rsid w:val="00500579"/>
    <w:rsid w:val="00527A24"/>
    <w:rsid w:val="005A5366"/>
    <w:rsid w:val="006369EB"/>
    <w:rsid w:val="00637E73"/>
    <w:rsid w:val="006414FB"/>
    <w:rsid w:val="006865E9"/>
    <w:rsid w:val="00686E9A"/>
    <w:rsid w:val="00691F3E"/>
    <w:rsid w:val="00694BFB"/>
    <w:rsid w:val="006A106B"/>
    <w:rsid w:val="006C523D"/>
    <w:rsid w:val="006D0A8C"/>
    <w:rsid w:val="006D4036"/>
    <w:rsid w:val="00761DDC"/>
    <w:rsid w:val="007A5259"/>
    <w:rsid w:val="007A7081"/>
    <w:rsid w:val="007F1CF5"/>
    <w:rsid w:val="00834EDE"/>
    <w:rsid w:val="008736AA"/>
    <w:rsid w:val="008C5221"/>
    <w:rsid w:val="008D275D"/>
    <w:rsid w:val="00946186"/>
    <w:rsid w:val="00980327"/>
    <w:rsid w:val="00986478"/>
    <w:rsid w:val="009B5557"/>
    <w:rsid w:val="009F1067"/>
    <w:rsid w:val="00A31E01"/>
    <w:rsid w:val="00A527AD"/>
    <w:rsid w:val="00A718CF"/>
    <w:rsid w:val="00AE48A0"/>
    <w:rsid w:val="00AE61BE"/>
    <w:rsid w:val="00AF3B3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7210"/>
    <w:rsid w:val="00E365F1"/>
    <w:rsid w:val="00E62F48"/>
    <w:rsid w:val="00E831B3"/>
    <w:rsid w:val="00E95FBC"/>
    <w:rsid w:val="00EC068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00079"/>
  <w15:chartTrackingRefBased/>
  <w15:docId w15:val="{B26DF8CD-06F7-435B-B4E5-D0B480C3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0EF0"/>
    <w:rPr>
      <w:rFonts w:eastAsia="Calibri"/>
      <w:color w:val="000000"/>
    </w:rPr>
  </w:style>
  <w:style w:type="character" w:customStyle="1" w:styleId="SectionHeadingChar">
    <w:name w:val="Section Heading Char"/>
    <w:link w:val="SectionHeading"/>
    <w:rsid w:val="00250EF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ABB0CC9734044A55EAFEB7E0F3FF3"/>
        <w:category>
          <w:name w:val="General"/>
          <w:gallery w:val="placeholder"/>
        </w:category>
        <w:types>
          <w:type w:val="bbPlcHdr"/>
        </w:types>
        <w:behaviors>
          <w:behavior w:val="content"/>
        </w:behaviors>
        <w:guid w:val="{1D263FC3-4F7A-43DC-B0CF-D37E77DD0C55}"/>
      </w:docPartPr>
      <w:docPartBody>
        <w:p w:rsidR="00C25A86" w:rsidRDefault="00C25A86">
          <w:pPr>
            <w:pStyle w:val="EE7ABB0CC9734044A55EAFEB7E0F3FF3"/>
          </w:pPr>
          <w:r w:rsidRPr="00B844FE">
            <w:t>Prefix Text</w:t>
          </w:r>
        </w:p>
      </w:docPartBody>
    </w:docPart>
    <w:docPart>
      <w:docPartPr>
        <w:name w:val="6B8403AE0BA9450BB110882CA7D2276E"/>
        <w:category>
          <w:name w:val="General"/>
          <w:gallery w:val="placeholder"/>
        </w:category>
        <w:types>
          <w:type w:val="bbPlcHdr"/>
        </w:types>
        <w:behaviors>
          <w:behavior w:val="content"/>
        </w:behaviors>
        <w:guid w:val="{86B1CB40-DEDC-4C68-95B1-B81094948FC4}"/>
      </w:docPartPr>
      <w:docPartBody>
        <w:p w:rsidR="00C25A86" w:rsidRDefault="00C25A86">
          <w:pPr>
            <w:pStyle w:val="6B8403AE0BA9450BB110882CA7D2276E"/>
          </w:pPr>
          <w:r w:rsidRPr="00B844FE">
            <w:t>[Type here]</w:t>
          </w:r>
        </w:p>
      </w:docPartBody>
    </w:docPart>
    <w:docPart>
      <w:docPartPr>
        <w:name w:val="4B81FD4136864B6C91AE6164C25A8A3B"/>
        <w:category>
          <w:name w:val="General"/>
          <w:gallery w:val="placeholder"/>
        </w:category>
        <w:types>
          <w:type w:val="bbPlcHdr"/>
        </w:types>
        <w:behaviors>
          <w:behavior w:val="content"/>
        </w:behaviors>
        <w:guid w:val="{016EB631-739D-4264-9824-4A1E16F0BD19}"/>
      </w:docPartPr>
      <w:docPartBody>
        <w:p w:rsidR="00C25A86" w:rsidRDefault="00C25A86">
          <w:pPr>
            <w:pStyle w:val="4B81FD4136864B6C91AE6164C25A8A3B"/>
          </w:pPr>
          <w:r w:rsidRPr="00B844FE">
            <w:t>Number</w:t>
          </w:r>
        </w:p>
      </w:docPartBody>
    </w:docPart>
    <w:docPart>
      <w:docPartPr>
        <w:name w:val="8814CD8B84FD468CB639EDC21390D7B2"/>
        <w:category>
          <w:name w:val="General"/>
          <w:gallery w:val="placeholder"/>
        </w:category>
        <w:types>
          <w:type w:val="bbPlcHdr"/>
        </w:types>
        <w:behaviors>
          <w:behavior w:val="content"/>
        </w:behaviors>
        <w:guid w:val="{44EA4842-7AA7-4000-9681-61011BC56806}"/>
      </w:docPartPr>
      <w:docPartBody>
        <w:p w:rsidR="00C25A86" w:rsidRDefault="00C25A86">
          <w:pPr>
            <w:pStyle w:val="8814CD8B84FD468CB639EDC21390D7B2"/>
          </w:pPr>
          <w:r w:rsidRPr="00B844FE">
            <w:t>Enter Sponsors Here</w:t>
          </w:r>
        </w:p>
      </w:docPartBody>
    </w:docPart>
    <w:docPart>
      <w:docPartPr>
        <w:name w:val="E32FDEEA289544BAA0140CA415852B72"/>
        <w:category>
          <w:name w:val="General"/>
          <w:gallery w:val="placeholder"/>
        </w:category>
        <w:types>
          <w:type w:val="bbPlcHdr"/>
        </w:types>
        <w:behaviors>
          <w:behavior w:val="content"/>
        </w:behaviors>
        <w:guid w:val="{D0852AE1-EF11-4DFE-9987-7C9C435CEA95}"/>
      </w:docPartPr>
      <w:docPartBody>
        <w:p w:rsidR="00C25A86" w:rsidRDefault="00C25A86">
          <w:pPr>
            <w:pStyle w:val="E32FDEEA289544BAA0140CA415852B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86"/>
    <w:rsid w:val="000B1054"/>
    <w:rsid w:val="00C2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7ABB0CC9734044A55EAFEB7E0F3FF3">
    <w:name w:val="EE7ABB0CC9734044A55EAFEB7E0F3FF3"/>
  </w:style>
  <w:style w:type="paragraph" w:customStyle="1" w:styleId="6B8403AE0BA9450BB110882CA7D2276E">
    <w:name w:val="6B8403AE0BA9450BB110882CA7D2276E"/>
  </w:style>
  <w:style w:type="paragraph" w:customStyle="1" w:styleId="4B81FD4136864B6C91AE6164C25A8A3B">
    <w:name w:val="4B81FD4136864B6C91AE6164C25A8A3B"/>
  </w:style>
  <w:style w:type="paragraph" w:customStyle="1" w:styleId="8814CD8B84FD468CB639EDC21390D7B2">
    <w:name w:val="8814CD8B84FD468CB639EDC21390D7B2"/>
  </w:style>
  <w:style w:type="character" w:styleId="PlaceholderText">
    <w:name w:val="Placeholder Text"/>
    <w:basedOn w:val="DefaultParagraphFont"/>
    <w:uiPriority w:val="99"/>
    <w:semiHidden/>
    <w:rPr>
      <w:color w:val="808080"/>
    </w:rPr>
  </w:style>
  <w:style w:type="paragraph" w:customStyle="1" w:styleId="E32FDEEA289544BAA0140CA415852B72">
    <w:name w:val="E32FDEEA289544BAA0140CA415852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2024-11-27T21:24:00Z</dcterms:created>
  <dcterms:modified xsi:type="dcterms:W3CDTF">2025-02-10T19:30:00Z</dcterms:modified>
</cp:coreProperties>
</file>